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F42F" w14:textId="77777777" w:rsidR="00301C92" w:rsidRPr="00B8192B" w:rsidRDefault="00EF2D8D" w:rsidP="00A93877">
      <w:pPr>
        <w:ind w:left="1418" w:hanging="1418"/>
        <w:jc w:val="center"/>
        <w:rPr>
          <w:rFonts w:cs="Verdana"/>
          <w:b/>
          <w:bCs/>
          <w:caps/>
          <w:snapToGrid w:val="0"/>
          <w:u w:val="single"/>
        </w:rPr>
      </w:pPr>
      <w:r w:rsidRPr="000C5BB1">
        <w:rPr>
          <w:rFonts w:cs="Verdana"/>
          <w:b/>
          <w:bCs/>
          <w:i/>
          <w:snapToGrid w:val="0"/>
          <w:u w:val="single"/>
        </w:rPr>
        <w:t>Caso Gómez</w:t>
      </w:r>
      <w:r w:rsidR="00301C92" w:rsidRPr="000C5BB1">
        <w:rPr>
          <w:rFonts w:cs="Verdana"/>
          <w:b/>
          <w:bCs/>
          <w:i/>
          <w:snapToGrid w:val="0"/>
          <w:u w:val="single"/>
        </w:rPr>
        <w:t xml:space="preserve"> Murillo y otros Vs. Costa Rica: </w:t>
      </w:r>
      <w:r w:rsidR="00301C92" w:rsidRPr="00B8192B">
        <w:rPr>
          <w:rFonts w:cs="Verdana"/>
          <w:b/>
          <w:bCs/>
          <w:snapToGrid w:val="0"/>
          <w:u w:val="single"/>
        </w:rPr>
        <w:t xml:space="preserve">reparaciones </w:t>
      </w:r>
      <w:r w:rsidR="00EA2BC2">
        <w:rPr>
          <w:rFonts w:cs="Verdana"/>
          <w:b/>
          <w:bCs/>
          <w:snapToGrid w:val="0"/>
          <w:u w:val="single"/>
        </w:rPr>
        <w:t>declaradas cumplidas</w:t>
      </w:r>
    </w:p>
    <w:p w14:paraId="7EA17AD3" w14:textId="77777777" w:rsidR="00022F56" w:rsidRDefault="00022F56"/>
    <w:p w14:paraId="13F1E2FF" w14:textId="77777777" w:rsidR="00EF2D8D" w:rsidRPr="004F39B9" w:rsidRDefault="00EF2D8D" w:rsidP="00EF2D8D">
      <w:pPr>
        <w:pStyle w:val="Prrafodelista"/>
        <w:ind w:left="0"/>
        <w:rPr>
          <w:rFonts w:eastAsia="Calibri"/>
          <w:b/>
          <w:snapToGrid w:val="0"/>
          <w:kern w:val="32"/>
          <w:szCs w:val="22"/>
          <w:lang w:val="es-CR" w:eastAsia="es-ES"/>
        </w:rPr>
      </w:pPr>
    </w:p>
    <w:p w14:paraId="419E0B4E" w14:textId="3B6833E6" w:rsidR="00EF2D8D" w:rsidRPr="00612114" w:rsidRDefault="00EF2D8D" w:rsidP="00EF2D8D">
      <w:pPr>
        <w:numPr>
          <w:ilvl w:val="0"/>
          <w:numId w:val="1"/>
        </w:numPr>
        <w:ind w:left="0" w:firstLine="0"/>
        <w:jc w:val="both"/>
        <w:rPr>
          <w:rFonts w:eastAsia="Calibri"/>
          <w:snapToGrid w:val="0"/>
          <w:kern w:val="32"/>
          <w:szCs w:val="22"/>
          <w:lang w:val="es-CR" w:eastAsia="es-ES"/>
        </w:rPr>
      </w:pPr>
      <w:r>
        <w:rPr>
          <w:lang w:val="es-CR"/>
        </w:rPr>
        <w:t>R</w:t>
      </w:r>
      <w:r w:rsidRPr="004F39B9">
        <w:t xml:space="preserve">ealizar las publicaciones indicadas en la Sentencia, en los términos de los párrafos 51 y 52 de la </w:t>
      </w:r>
      <w:r w:rsidR="00022F56">
        <w:t>misma</w:t>
      </w:r>
      <w:r w:rsidR="00612114">
        <w:t>.</w:t>
      </w:r>
    </w:p>
    <w:p w14:paraId="672491CA" w14:textId="77777777" w:rsidR="00612114" w:rsidRPr="004F39B9" w:rsidRDefault="00612114" w:rsidP="00612114">
      <w:pPr>
        <w:jc w:val="both"/>
        <w:rPr>
          <w:rFonts w:eastAsia="Calibri"/>
          <w:snapToGrid w:val="0"/>
          <w:kern w:val="32"/>
          <w:szCs w:val="22"/>
          <w:lang w:val="es-CR" w:eastAsia="es-ES"/>
        </w:rPr>
      </w:pPr>
    </w:p>
    <w:p w14:paraId="00F9E627" w14:textId="279BD5D9" w:rsidR="00EF2D8D" w:rsidRPr="004F39B9" w:rsidRDefault="00EF2D8D" w:rsidP="00EF2D8D">
      <w:pPr>
        <w:numPr>
          <w:ilvl w:val="0"/>
          <w:numId w:val="1"/>
        </w:numPr>
        <w:ind w:left="0" w:firstLine="0"/>
        <w:jc w:val="both"/>
        <w:rPr>
          <w:rFonts w:eastAsia="Calibri"/>
          <w:snapToGrid w:val="0"/>
          <w:kern w:val="32"/>
          <w:szCs w:val="22"/>
          <w:lang w:val="es-CR" w:eastAsia="es-ES"/>
        </w:rPr>
      </w:pPr>
      <w:r w:rsidRPr="004F39B9">
        <w:rPr>
          <w:rFonts w:eastAsia="Calibri"/>
          <w:snapToGrid w:val="0"/>
          <w:kern w:val="32"/>
          <w:szCs w:val="22"/>
          <w:lang w:val="es-CR" w:eastAsia="es-ES"/>
        </w:rPr>
        <w:t>A</w:t>
      </w:r>
      <w:proofErr w:type="spellStart"/>
      <w:r w:rsidRPr="004F39B9">
        <w:t>segurar</w:t>
      </w:r>
      <w:proofErr w:type="spellEnd"/>
      <w:r w:rsidRPr="004F39B9">
        <w:t xml:space="preserve">, a través de la Caja Costarricense del Seguro Social que se cumplan las obligaciones y plazos establecidos en los artículos 7° y 14°, así como en el Transitorio I del Decreto Ejecutivo No. 39210-MP-S, lo que implica que el 11 de septiembre de 2017, dicho tratamiento debe estar disponible dentro de los programas y tratamientos de infertilidad en su </w:t>
      </w:r>
      <w:proofErr w:type="spellStart"/>
      <w:r w:rsidRPr="004F39B9">
        <w:t>atención</w:t>
      </w:r>
      <w:proofErr w:type="spellEnd"/>
      <w:r w:rsidRPr="004F39B9">
        <w:t xml:space="preserve"> de salud”, en los términos </w:t>
      </w:r>
      <w:proofErr w:type="gramStart"/>
      <w:r w:rsidRPr="004F39B9">
        <w:t>del párrafos</w:t>
      </w:r>
      <w:proofErr w:type="gramEnd"/>
      <w:r w:rsidRPr="004F39B9">
        <w:t xml:space="preserve"> 53 y 54 de la Sentencia</w:t>
      </w:r>
      <w:r w:rsidR="00F00696">
        <w:t>.</w:t>
      </w:r>
    </w:p>
    <w:p w14:paraId="0DFF0BA3" w14:textId="77777777" w:rsidR="00EF2D8D" w:rsidRPr="004F39B9" w:rsidRDefault="00EF2D8D" w:rsidP="00EF2D8D">
      <w:pPr>
        <w:pStyle w:val="Prrafodelista"/>
        <w:rPr>
          <w:b/>
        </w:rPr>
      </w:pPr>
    </w:p>
    <w:p w14:paraId="0C6E18CD" w14:textId="2067B0C3" w:rsidR="00EF2D8D" w:rsidRDefault="00EF2D8D" w:rsidP="00EF2D8D">
      <w:pPr>
        <w:numPr>
          <w:ilvl w:val="0"/>
          <w:numId w:val="1"/>
        </w:numPr>
        <w:ind w:left="0" w:firstLine="0"/>
        <w:jc w:val="both"/>
      </w:pPr>
      <w:r w:rsidRPr="004F39B9">
        <w:t xml:space="preserve">Propiciar, en un plazo razonable, acercamientos con la Defensoría de los Habitantes de la República, con instituciones académicas, así como con organismos internacionales especializados en derechos humanos a efecto de generar procesos de capacitación en derechos humanos, dirigidos a funcionarios de los diversos poderes del Estado y la Caja Costarricense del Seguro Social, en los términos </w:t>
      </w:r>
      <w:proofErr w:type="gramStart"/>
      <w:r w:rsidRPr="004F39B9">
        <w:t>del párrafos</w:t>
      </w:r>
      <w:proofErr w:type="gramEnd"/>
      <w:r w:rsidRPr="004F39B9">
        <w:t xml:space="preserve"> 55 a 57 de la Sentencia</w:t>
      </w:r>
      <w:r w:rsidR="00612114">
        <w:t>.</w:t>
      </w:r>
    </w:p>
    <w:p w14:paraId="76BA325E" w14:textId="77777777" w:rsidR="00612114" w:rsidRDefault="00612114" w:rsidP="00612114">
      <w:pPr>
        <w:pStyle w:val="Prrafodelista"/>
      </w:pPr>
    </w:p>
    <w:p w14:paraId="602B4A0D" w14:textId="44F4F4E4" w:rsidR="00EF2D8D" w:rsidRPr="00612114" w:rsidRDefault="00EF2D8D" w:rsidP="00EF2D8D">
      <w:pPr>
        <w:numPr>
          <w:ilvl w:val="0"/>
          <w:numId w:val="1"/>
        </w:numPr>
        <w:ind w:left="0" w:firstLine="0"/>
        <w:jc w:val="both"/>
        <w:rPr>
          <w:lang w:val="es-CR"/>
        </w:rPr>
      </w:pPr>
      <w:r w:rsidRPr="004F39B9">
        <w:t xml:space="preserve">Fortalecer, en un plazo razonable, los programas educativos dirigidos a propiciar una formación en derechos humanos, en los términos </w:t>
      </w:r>
      <w:proofErr w:type="gramStart"/>
      <w:r w:rsidRPr="004F39B9">
        <w:t>del párrafos</w:t>
      </w:r>
      <w:proofErr w:type="gramEnd"/>
      <w:r w:rsidRPr="004F39B9">
        <w:t xml:space="preserve"> 55 a 57 de la Sentencia</w:t>
      </w:r>
      <w:r w:rsidR="00612114">
        <w:t>.</w:t>
      </w:r>
    </w:p>
    <w:p w14:paraId="77C4CDBB" w14:textId="77777777" w:rsidR="00612114" w:rsidRDefault="00612114" w:rsidP="00612114">
      <w:pPr>
        <w:pStyle w:val="Prrafodelista"/>
        <w:rPr>
          <w:lang w:val="es-CR"/>
        </w:rPr>
      </w:pPr>
    </w:p>
    <w:p w14:paraId="5415662F" w14:textId="0463B6AF" w:rsidR="00EF2D8D" w:rsidRPr="004F39B9" w:rsidRDefault="00EF2D8D" w:rsidP="00EF2D8D">
      <w:pPr>
        <w:numPr>
          <w:ilvl w:val="0"/>
          <w:numId w:val="1"/>
        </w:numPr>
        <w:ind w:left="0" w:firstLine="0"/>
        <w:jc w:val="both"/>
        <w:rPr>
          <w:lang w:val="es-CR"/>
        </w:rPr>
      </w:pPr>
      <w:r w:rsidRPr="004F39B9">
        <w:rPr>
          <w:lang w:val="es-CR"/>
        </w:rPr>
        <w:t>I</w:t>
      </w:r>
      <w:proofErr w:type="spellStart"/>
      <w:r w:rsidRPr="004F39B9">
        <w:t>niciar</w:t>
      </w:r>
      <w:proofErr w:type="spellEnd"/>
      <w:r w:rsidRPr="004F39B9">
        <w:t xml:space="preserve">, en un plazo razonable, una discusión amplia y participativa acerca de la maternidad por subrogación como procedimiento para la procreación, en los términos </w:t>
      </w:r>
      <w:proofErr w:type="gramStart"/>
      <w:r w:rsidRPr="004F39B9">
        <w:t>del párrafos</w:t>
      </w:r>
      <w:proofErr w:type="gramEnd"/>
      <w:r w:rsidRPr="004F39B9">
        <w:t xml:space="preserve"> 55 a 57 de la Sentencia.</w:t>
      </w:r>
    </w:p>
    <w:p w14:paraId="53FDFE9A" w14:textId="77777777" w:rsidR="00EF2D8D" w:rsidRPr="00612114" w:rsidRDefault="00EF2D8D" w:rsidP="00EF2D8D">
      <w:pPr>
        <w:pStyle w:val="Prrafodelista"/>
        <w:ind w:left="0"/>
        <w:rPr>
          <w:rFonts w:eastAsia="Calibri"/>
          <w:snapToGrid w:val="0"/>
          <w:kern w:val="32"/>
          <w:szCs w:val="22"/>
          <w:lang w:val="es-CR" w:eastAsia="es-ES"/>
        </w:rPr>
      </w:pPr>
    </w:p>
    <w:p w14:paraId="521D3881" w14:textId="0064019D" w:rsidR="00EF2D8D" w:rsidRPr="00612114" w:rsidRDefault="00EF2D8D" w:rsidP="00EF2D8D">
      <w:pPr>
        <w:numPr>
          <w:ilvl w:val="0"/>
          <w:numId w:val="1"/>
        </w:numPr>
        <w:ind w:left="0" w:firstLine="0"/>
        <w:jc w:val="both"/>
        <w:rPr>
          <w:rFonts w:eastAsia="Calibri"/>
          <w:snapToGrid w:val="0"/>
          <w:kern w:val="32"/>
          <w:szCs w:val="22"/>
          <w:lang w:val="es-CR" w:eastAsia="es-ES"/>
        </w:rPr>
      </w:pPr>
      <w:r w:rsidRPr="00612114">
        <w:rPr>
          <w:rFonts w:eastAsia="Calibri"/>
          <w:snapToGrid w:val="0"/>
          <w:kern w:val="32"/>
          <w:szCs w:val="22"/>
          <w:lang w:val="es-CR" w:eastAsia="es-ES"/>
        </w:rPr>
        <w:t>P</w:t>
      </w:r>
      <w:r w:rsidRPr="004F39B9">
        <w:t xml:space="preserve">agar a cada una de las víctimas las cantidades acordadas por concepto de indemnizaciones del </w:t>
      </w:r>
      <w:proofErr w:type="spellStart"/>
      <w:r w:rsidRPr="004F39B9">
        <w:t>daño</w:t>
      </w:r>
      <w:proofErr w:type="spellEnd"/>
      <w:r w:rsidRPr="004F39B9">
        <w:t xml:space="preserve"> material y del </w:t>
      </w:r>
      <w:proofErr w:type="spellStart"/>
      <w:r w:rsidRPr="004F39B9">
        <w:t>daño</w:t>
      </w:r>
      <w:proofErr w:type="spellEnd"/>
      <w:r w:rsidRPr="004F39B9">
        <w:t xml:space="preserve"> inmaterial, en los términos del párrafo 58 de la Sentencia</w:t>
      </w:r>
    </w:p>
    <w:p w14:paraId="460D8F8B" w14:textId="77777777" w:rsidR="00EF2D8D" w:rsidRPr="004F39B9" w:rsidRDefault="00EF2D8D" w:rsidP="00EF2D8D">
      <w:pPr>
        <w:pStyle w:val="Prrafodelista5"/>
        <w:rPr>
          <w:lang w:val="es-CR"/>
        </w:rPr>
      </w:pPr>
    </w:p>
    <w:p w14:paraId="1148A9CE" w14:textId="3994B4DC" w:rsidR="00EF2D8D" w:rsidRPr="00F00696" w:rsidRDefault="00EF2D8D" w:rsidP="00EF2D8D">
      <w:pPr>
        <w:numPr>
          <w:ilvl w:val="0"/>
          <w:numId w:val="1"/>
        </w:numPr>
        <w:ind w:left="0" w:firstLine="0"/>
        <w:jc w:val="both"/>
        <w:rPr>
          <w:lang w:val="es-CR"/>
        </w:rPr>
      </w:pPr>
      <w:r w:rsidRPr="004F39B9">
        <w:rPr>
          <w:lang w:val="es-CR"/>
        </w:rPr>
        <w:t>P</w:t>
      </w:r>
      <w:r w:rsidRPr="004F39B9">
        <w:t xml:space="preserve">agar la cantidad acordada por concepto de reintegro de costas y gastos al representante, en los términos del </w:t>
      </w:r>
      <w:proofErr w:type="spellStart"/>
      <w:r w:rsidRPr="004F39B9">
        <w:t>párrafo</w:t>
      </w:r>
      <w:proofErr w:type="spellEnd"/>
      <w:r w:rsidRPr="004F39B9">
        <w:t xml:space="preserve"> 59 de la Sentencia</w:t>
      </w:r>
      <w:r w:rsidR="00F00696">
        <w:t>.</w:t>
      </w:r>
    </w:p>
    <w:p w14:paraId="2BA7034D" w14:textId="77777777" w:rsidR="00F00696" w:rsidRDefault="00F00696" w:rsidP="00F00696">
      <w:pPr>
        <w:pStyle w:val="Prrafodelista"/>
        <w:rPr>
          <w:lang w:val="es-CR"/>
        </w:rPr>
      </w:pPr>
    </w:p>
    <w:p w14:paraId="4136750B" w14:textId="18EB2FAD" w:rsidR="00F00696" w:rsidRPr="004F39B9" w:rsidRDefault="00F00696" w:rsidP="00EF2D8D">
      <w:pPr>
        <w:numPr>
          <w:ilvl w:val="0"/>
          <w:numId w:val="1"/>
        </w:numPr>
        <w:ind w:left="0" w:firstLine="0"/>
        <w:jc w:val="both"/>
        <w:rPr>
          <w:lang w:val="es-CR"/>
        </w:rPr>
      </w:pPr>
      <w:r>
        <w:t xml:space="preserve">Hacer efectiva la posibilidad de acceso a la técnica de fecundación </w:t>
      </w:r>
      <w:r w:rsidRPr="00F00696">
        <w:rPr>
          <w:i/>
        </w:rPr>
        <w:t>in vitro</w:t>
      </w:r>
      <w:r>
        <w:t xml:space="preserve"> y, a tal efecto, mantener vigente el Decreto Ejecutivo No. 39210-MP-S, sin perjuicio de que el órgano legislativo emita alguna regulación posterior en apego a los estándares indicados en la Sentencia del </w:t>
      </w:r>
      <w:r w:rsidRPr="00F00696">
        <w:rPr>
          <w:i/>
        </w:rPr>
        <w:t>caso Artavia Murillo y otros Vs. Costa Rica</w:t>
      </w:r>
      <w:r>
        <w:t xml:space="preserve">, reconociéndose que la prohibición de la fecundación in vitro no puede producir efectos jurídicos en Costa Rica ni constituir un impedimento al ejercicio del derecho a decidir tener hijos biológicos a través del acceso a la fecundación in vitro. </w:t>
      </w:r>
    </w:p>
    <w:p w14:paraId="6134F931" w14:textId="77777777" w:rsidR="005B494A" w:rsidRPr="00EF2D8D" w:rsidRDefault="005B494A">
      <w:pPr>
        <w:rPr>
          <w:lang w:val="es-CR"/>
        </w:rPr>
      </w:pPr>
    </w:p>
    <w:sectPr w:rsidR="005B494A" w:rsidRPr="00EF2D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03AAA" w14:textId="77777777" w:rsidR="00586F82" w:rsidRDefault="00586F82" w:rsidP="00301C92">
      <w:r>
        <w:separator/>
      </w:r>
    </w:p>
  </w:endnote>
  <w:endnote w:type="continuationSeparator" w:id="0">
    <w:p w14:paraId="774C62CD" w14:textId="77777777" w:rsidR="00586F82" w:rsidRDefault="00586F82" w:rsidP="0030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1F46" w14:textId="77777777" w:rsidR="00981F18" w:rsidRDefault="00981F1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EAFE" w14:textId="78D75654" w:rsidR="00301C92" w:rsidRPr="00301C92" w:rsidRDefault="00301C92" w:rsidP="00022F56">
    <w:pPr>
      <w:jc w:val="both"/>
      <w:rPr>
        <w:lang w:val="es-MX"/>
      </w:rPr>
    </w:pPr>
    <w:r w:rsidRPr="00911C21">
      <w:rPr>
        <w:bCs/>
        <w:sz w:val="16"/>
        <w:szCs w:val="16"/>
        <w:lang w:val="es-MX"/>
      </w:rPr>
      <w:t xml:space="preserve">La presente sistematización de información fue </w:t>
    </w:r>
    <w:r w:rsidR="00981F18">
      <w:rPr>
        <w:bCs/>
        <w:sz w:val="16"/>
        <w:szCs w:val="16"/>
        <w:lang w:val="es-MX"/>
      </w:rPr>
      <w:t>realizada</w:t>
    </w:r>
    <w:r w:rsidRPr="00911C21">
      <w:rPr>
        <w:bCs/>
        <w:sz w:val="16"/>
        <w:szCs w:val="16"/>
        <w:lang w:val="es-MX"/>
      </w:rPr>
      <w:t xml:space="preserve"> por la Secretaría de la Corte Interamericana de Derechos Humanos, por lo que es responsabilidad exclusiva de la misma. La información se basa en lo declarado en resoluciones emitidas por esta Corte.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2105" w14:textId="77777777" w:rsidR="00981F18" w:rsidRDefault="00981F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8B09B" w14:textId="77777777" w:rsidR="00586F82" w:rsidRDefault="00586F82" w:rsidP="00301C92">
      <w:r>
        <w:separator/>
      </w:r>
    </w:p>
  </w:footnote>
  <w:footnote w:type="continuationSeparator" w:id="0">
    <w:p w14:paraId="0CD77B1A" w14:textId="77777777" w:rsidR="00586F82" w:rsidRDefault="00586F82" w:rsidP="0030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54C1" w14:textId="77777777" w:rsidR="00981F18" w:rsidRDefault="00981F1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sdtContent>
      <w:p w14:paraId="71F0F7CF" w14:textId="77777777" w:rsidR="00236775" w:rsidRDefault="00236775" w:rsidP="00236775">
        <w:pPr>
          <w:pStyle w:val="Encabezado"/>
          <w:jc w:val="right"/>
        </w:pPr>
        <w:r>
          <w:fldChar w:fldCharType="begin"/>
        </w:r>
        <w:r>
          <w:instrText xml:space="preserve"> PAGE   \* MERGEFORMAT </w:instrText>
        </w:r>
        <w:r>
          <w:fldChar w:fldCharType="separate"/>
        </w:r>
        <w:r w:rsidR="00EA2BC2">
          <w:rPr>
            <w:noProof/>
          </w:rPr>
          <w:t>1</w:t>
        </w:r>
        <w:r>
          <w:rPr>
            <w:noProof/>
          </w:rPr>
          <w:fldChar w:fldCharType="end"/>
        </w:r>
      </w:p>
    </w:sdtContent>
  </w:sdt>
  <w:p w14:paraId="445FA474" w14:textId="77777777" w:rsidR="00236775" w:rsidRDefault="0023677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4AFF" w14:textId="77777777" w:rsidR="00981F18" w:rsidRDefault="00981F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8481C"/>
    <w:multiLevelType w:val="hybridMultilevel"/>
    <w:tmpl w:val="172691E2"/>
    <w:lvl w:ilvl="0" w:tplc="0409000F">
      <w:start w:val="1"/>
      <w:numFmt w:val="decimal"/>
      <w:lvlText w:val="%1."/>
      <w:lvlJc w:val="left"/>
      <w:pPr>
        <w:ind w:left="1080" w:hanging="720"/>
      </w:pPr>
      <w:rPr>
        <w:rFonts w:hint="default"/>
        <w:lang w:val="es-C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9790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92"/>
    <w:rsid w:val="00022F56"/>
    <w:rsid w:val="000C5BB1"/>
    <w:rsid w:val="00236775"/>
    <w:rsid w:val="00301C92"/>
    <w:rsid w:val="0033646F"/>
    <w:rsid w:val="003A7E5E"/>
    <w:rsid w:val="00586F82"/>
    <w:rsid w:val="0059143C"/>
    <w:rsid w:val="005B494A"/>
    <w:rsid w:val="00612114"/>
    <w:rsid w:val="007D2E9E"/>
    <w:rsid w:val="008D2A28"/>
    <w:rsid w:val="00981F18"/>
    <w:rsid w:val="009832C0"/>
    <w:rsid w:val="00983D46"/>
    <w:rsid w:val="00A652AA"/>
    <w:rsid w:val="00A93877"/>
    <w:rsid w:val="00B64A88"/>
    <w:rsid w:val="00C721D2"/>
    <w:rsid w:val="00EA2BC2"/>
    <w:rsid w:val="00EF2D8D"/>
    <w:rsid w:val="00F00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0ACB"/>
  <w15:docId w15:val="{360390EF-3B2B-446F-B423-83B1EF10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C92"/>
    <w:pPr>
      <w:spacing w:after="0" w:line="240" w:lineRule="auto"/>
    </w:pPr>
    <w:rPr>
      <w:rFonts w:ascii="Verdana" w:eastAsia="Times New Roman" w:hAnsi="Verdana"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1C92"/>
    <w:pPr>
      <w:tabs>
        <w:tab w:val="center" w:pos="4680"/>
        <w:tab w:val="right" w:pos="9360"/>
      </w:tabs>
    </w:pPr>
  </w:style>
  <w:style w:type="character" w:customStyle="1" w:styleId="EncabezadoCar">
    <w:name w:val="Encabezado Car"/>
    <w:basedOn w:val="Fuentedeprrafopredeter"/>
    <w:link w:val="Encabezado"/>
    <w:uiPriority w:val="99"/>
    <w:rsid w:val="00301C92"/>
    <w:rPr>
      <w:rFonts w:ascii="Verdana" w:eastAsia="Times New Roman" w:hAnsi="Verdana" w:cs="Times New Roman"/>
      <w:sz w:val="20"/>
      <w:szCs w:val="20"/>
      <w:lang w:val="es-ES_tradnl"/>
    </w:rPr>
  </w:style>
  <w:style w:type="paragraph" w:styleId="Piedepgina">
    <w:name w:val="footer"/>
    <w:basedOn w:val="Normal"/>
    <w:link w:val="PiedepginaCar"/>
    <w:uiPriority w:val="99"/>
    <w:unhideWhenUsed/>
    <w:rsid w:val="00301C92"/>
    <w:pPr>
      <w:tabs>
        <w:tab w:val="center" w:pos="4680"/>
        <w:tab w:val="right" w:pos="9360"/>
      </w:tabs>
    </w:pPr>
  </w:style>
  <w:style w:type="character" w:customStyle="1" w:styleId="PiedepginaCar">
    <w:name w:val="Pie de página Car"/>
    <w:basedOn w:val="Fuentedeprrafopredeter"/>
    <w:link w:val="Piedepgina"/>
    <w:uiPriority w:val="99"/>
    <w:rsid w:val="00301C92"/>
    <w:rPr>
      <w:rFonts w:ascii="Verdana" w:eastAsia="Times New Roman" w:hAnsi="Verdana" w:cs="Times New Roman"/>
      <w:sz w:val="20"/>
      <w:szCs w:val="20"/>
      <w:lang w:val="es-ES_tradnl"/>
    </w:rPr>
  </w:style>
  <w:style w:type="paragraph" w:styleId="Prrafodelista">
    <w:name w:val="List Paragraph"/>
    <w:basedOn w:val="Normal"/>
    <w:link w:val="PrrafodelistaCar1"/>
    <w:uiPriority w:val="99"/>
    <w:qFormat/>
    <w:rsid w:val="005B494A"/>
    <w:pPr>
      <w:ind w:left="720"/>
    </w:pPr>
  </w:style>
  <w:style w:type="character" w:customStyle="1" w:styleId="PrrafodelistaCar1">
    <w:name w:val="Párrafo de lista Car1"/>
    <w:link w:val="Prrafodelista"/>
    <w:uiPriority w:val="99"/>
    <w:locked/>
    <w:rsid w:val="005B494A"/>
    <w:rPr>
      <w:rFonts w:ascii="Verdana" w:eastAsia="Times New Roman" w:hAnsi="Verdana" w:cs="Times New Roman"/>
      <w:sz w:val="20"/>
      <w:szCs w:val="20"/>
      <w:lang w:val="es-ES_tradnl"/>
    </w:rPr>
  </w:style>
  <w:style w:type="paragraph" w:customStyle="1" w:styleId="Prrafodelista5">
    <w:name w:val="Párrafo de lista5"/>
    <w:basedOn w:val="Normal"/>
    <w:link w:val="PrrafodelistaCar"/>
    <w:uiPriority w:val="99"/>
    <w:qFormat/>
    <w:rsid w:val="00EF2D8D"/>
    <w:pPr>
      <w:ind w:left="720"/>
    </w:pPr>
    <w:rPr>
      <w:lang w:eastAsia="x-none"/>
    </w:rPr>
  </w:style>
  <w:style w:type="character" w:customStyle="1" w:styleId="PrrafodelistaCar">
    <w:name w:val="Párrafo de lista Car"/>
    <w:link w:val="Prrafodelista5"/>
    <w:uiPriority w:val="99"/>
    <w:locked/>
    <w:rsid w:val="00EF2D8D"/>
    <w:rPr>
      <w:rFonts w:ascii="Verdana" w:eastAsia="Times New Roman" w:hAnsi="Verdana" w:cs="Times New Roman"/>
      <w:sz w:val="20"/>
      <w:szCs w:val="20"/>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05399">
      <w:bodyDiv w:val="1"/>
      <w:marLeft w:val="0"/>
      <w:marRight w:val="0"/>
      <w:marTop w:val="0"/>
      <w:marBottom w:val="0"/>
      <w:divBdr>
        <w:top w:val="none" w:sz="0" w:space="0" w:color="auto"/>
        <w:left w:val="none" w:sz="0" w:space="0" w:color="auto"/>
        <w:bottom w:val="none" w:sz="0" w:space="0" w:color="auto"/>
        <w:right w:val="none" w:sz="0" w:space="0" w:color="auto"/>
      </w:divBdr>
    </w:div>
    <w:div w:id="121157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1965</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3</cp:revision>
  <cp:lastPrinted>2016-10-07T00:18:00Z</cp:lastPrinted>
  <dcterms:created xsi:type="dcterms:W3CDTF">2020-01-03T17:56:00Z</dcterms:created>
  <dcterms:modified xsi:type="dcterms:W3CDTF">2023-09-29T21:04:00Z</dcterms:modified>
</cp:coreProperties>
</file>